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283"/>
        <w:jc w:val="center"/>
        <w:rPr>
          <w:b/>
          <w:color w:val="17365d" w:themeColor="text2" w:themeShade="BF"/>
          <w:sz w:val="18"/>
          <w:szCs w:val="18"/>
        </w:rPr>
      </w:pPr>
      <w:r>
        <w:rPr>
          <w:b/>
          <w:color w:val="17365d" w:themeColor="text2" w:themeShade="BF"/>
          <w:sz w:val="18"/>
          <w:szCs w:val="18"/>
        </w:rPr>
        <w:t xml:space="preserve">Закупочный центр «Запад»</w:t>
      </w:r>
      <w:r>
        <w:rPr>
          <w:b/>
          <w:color w:val="17365d" w:themeColor="text2" w:themeShade="BF"/>
          <w:sz w:val="18"/>
          <w:szCs w:val="18"/>
        </w:rPr>
      </w:r>
      <w:r>
        <w:rPr>
          <w:b/>
          <w:color w:val="17365d" w:themeColor="text2" w:themeShade="BF"/>
          <w:sz w:val="18"/>
          <w:szCs w:val="18"/>
        </w:rPr>
      </w:r>
    </w:p>
    <w:p>
      <w:pPr>
        <w:ind w:right="-283"/>
        <w:jc w:val="center"/>
        <w:rPr>
          <w:b/>
          <w:color w:val="17365d" w:themeColor="text2" w:themeShade="BF"/>
          <w:sz w:val="18"/>
          <w:szCs w:val="18"/>
        </w:rPr>
      </w:pPr>
      <w:r>
        <w:rPr>
          <w:b/>
          <w:color w:val="17365d" w:themeColor="text2" w:themeShade="BF"/>
          <w:sz w:val="18"/>
          <w:szCs w:val="18"/>
        </w:rPr>
        <w:t xml:space="preserve">Филиал «Костромская ГРЭС»</w:t>
      </w:r>
      <w:r>
        <w:rPr>
          <w:b/>
          <w:color w:val="17365d" w:themeColor="text2" w:themeShade="BF"/>
          <w:sz w:val="18"/>
          <w:szCs w:val="18"/>
        </w:rPr>
      </w:r>
      <w:r>
        <w:rPr>
          <w:b/>
          <w:color w:val="17365d" w:themeColor="text2" w:themeShade="BF"/>
          <w:sz w:val="18"/>
          <w:szCs w:val="18"/>
        </w:rPr>
      </w:r>
    </w:p>
    <w:p>
      <w:pPr>
        <w:ind w:right="-283"/>
        <w:jc w:val="center"/>
        <w:rPr>
          <w:color w:val="17365d" w:themeColor="text2" w:themeShade="BF"/>
          <w:sz w:val="18"/>
          <w:szCs w:val="18"/>
        </w:rPr>
        <w:pBdr>
          <w:bottom w:val="single" w:color="000000" w:sz="12" w:space="1"/>
        </w:pBdr>
      </w:pPr>
      <w:r>
        <w:rPr>
          <w:b/>
          <w:color w:val="17365d" w:themeColor="text2" w:themeShade="BF"/>
          <w:sz w:val="18"/>
          <w:szCs w:val="18"/>
        </w:rPr>
        <w:t xml:space="preserve">АО «Интер РАО – </w:t>
      </w:r>
      <w:r>
        <w:rPr>
          <w:b/>
          <w:color w:val="17365d" w:themeColor="text2" w:themeShade="BF"/>
          <w:sz w:val="18"/>
          <w:szCs w:val="18"/>
        </w:rPr>
        <w:t xml:space="preserve">Электрогенерация</w:t>
      </w:r>
      <w:r>
        <w:rPr>
          <w:b/>
          <w:color w:val="17365d" w:themeColor="text2" w:themeShade="BF"/>
          <w:sz w:val="18"/>
          <w:szCs w:val="18"/>
        </w:rPr>
        <w:t xml:space="preserve">»</w:t>
      </w:r>
      <w:r>
        <w:rPr>
          <w:color w:val="17365d" w:themeColor="text2" w:themeShade="BF"/>
          <w:sz w:val="18"/>
          <w:szCs w:val="18"/>
        </w:rPr>
      </w:r>
      <w:r>
        <w:rPr>
          <w:color w:val="17365d" w:themeColor="text2" w:themeShade="BF"/>
          <w:sz w:val="18"/>
          <w:szCs w:val="18"/>
        </w:rPr>
      </w:r>
    </w:p>
    <w:p>
      <w:pPr>
        <w:jc w:val="both"/>
        <w:spacing w:before="240"/>
        <w:rPr>
          <w:b/>
        </w:rPr>
      </w:pPr>
      <w:r>
        <w:t xml:space="preserve">«07</w:t>
      </w:r>
      <w:r>
        <w:t xml:space="preserve">»</w:t>
      </w:r>
      <w:r>
        <w:t xml:space="preserve"> ма</w:t>
      </w:r>
      <w:r>
        <w:t xml:space="preserve">я</w:t>
      </w:r>
      <w:r>
        <w:t xml:space="preserve"> 20</w:t>
      </w:r>
      <w:r>
        <w:t xml:space="preserve">26</w:t>
      </w:r>
      <w:r>
        <w:t xml:space="preserve"> </w:t>
      </w:r>
      <w:r>
        <w:t xml:space="preserve">г.  </w:t>
      </w:r>
      <w:r>
        <w:t xml:space="preserve">                  </w:t>
      </w:r>
      <w:r>
        <w:t xml:space="preserve">                            </w:t>
      </w:r>
      <w:r>
        <w:t xml:space="preserve">                                          </w:t>
      </w:r>
      <w:r>
        <w:t xml:space="preserve">              </w:t>
      </w:r>
      <w:r>
        <w:t xml:space="preserve">№</w:t>
      </w:r>
      <w:r>
        <w:t xml:space="preserve"> </w:t>
      </w:r>
      <w:r>
        <w:t xml:space="preserve">2</w:t>
      </w:r>
      <w:r>
        <w:t xml:space="preserve">24784</w:t>
      </w:r>
      <w:r>
        <w:rPr>
          <w:b/>
        </w:rPr>
      </w:r>
      <w:r>
        <w:rPr>
          <w:b/>
        </w:rPr>
      </w:r>
    </w:p>
    <w:p>
      <w:pPr>
        <w:jc w:val="center"/>
        <w:spacing w:before="240" w:line="276" w:lineRule="auto"/>
        <w:rPr>
          <w:b/>
        </w:rPr>
      </w:pPr>
      <w:r>
        <w:rPr>
          <w:b/>
        </w:rPr>
        <w:t xml:space="preserve">УВЕДОМЛЕНИЕ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о внесении изменений </w:t>
      </w:r>
      <w:r>
        <w:rPr>
          <w:b/>
        </w:rPr>
        <w:t xml:space="preserve">в </w:t>
      </w:r>
      <w:r>
        <w:rPr>
          <w:b/>
        </w:rPr>
        <w:t xml:space="preserve">Закупочную документацию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pStyle w:val="914"/>
        <w:contextualSpacing w:val="0"/>
        <w:ind w:left="851"/>
        <w:jc w:val="both"/>
        <w:spacing w:before="60" w:after="60"/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567" w:leader="none"/>
        </w:tabs>
        <w:rPr>
          <w14:ligatures w14:val="none"/>
        </w:rPr>
      </w:pPr>
      <w:r>
        <w:t xml:space="preserve">В целях удовлетворения нужд Заказчика </w:t>
      </w:r>
      <w:r>
        <w:t xml:space="preserve">филиал</w:t>
      </w:r>
      <w:r>
        <w:t xml:space="preserve">а</w:t>
      </w:r>
      <w:r>
        <w:t xml:space="preserve"> «Сочинская ТЭС</w:t>
      </w:r>
      <w:r>
        <w:t xml:space="preserve">» АО «Интер РАО – </w:t>
      </w:r>
      <w:r>
        <w:t xml:space="preserve">Электрогенерация</w:t>
      </w:r>
      <w:r>
        <w:t xml:space="preserve">»</w:t>
      </w:r>
      <w:r>
        <w:t xml:space="preserve">, Организатор закупки </w:t>
      </w:r>
      <w:r>
        <w:t xml:space="preserve">Закупочный цент</w:t>
      </w:r>
      <w:r>
        <w:t xml:space="preserve">р «Запад»</w:t>
      </w:r>
      <w:r>
        <w:t xml:space="preserve">, </w:t>
      </w:r>
      <w:r>
        <w:t xml:space="preserve">по </w:t>
      </w:r>
      <w:r>
        <w:t xml:space="preserve">открытому </w:t>
      </w:r>
      <w:r>
        <w:t xml:space="preserve">запросу предложений</w:t>
      </w:r>
      <w:r>
        <w:t xml:space="preserve"> </w:t>
      </w:r>
      <w:r>
        <w:t xml:space="preserve">в электронной форме</w:t>
      </w:r>
      <w:r>
        <w:t xml:space="preserve"> на право заключения договора </w:t>
      </w:r>
      <w:r>
        <w:t xml:space="preserve">«</w:t>
      </w:r>
      <w:r>
        <w:rPr>
          <w:b/>
          <w:bCs/>
          <w:i/>
          <w:iCs/>
        </w:rPr>
      </w:r>
      <w:r>
        <w:rPr>
          <w:b/>
          <w:bCs/>
          <w:i/>
          <w:iCs/>
        </w:rPr>
        <w:t xml:space="preserve">Телекоммуникационное оборудование и аккумуляторы для ИБП для Сочинской ТЭС</w:t>
      </w:r>
      <w:r>
        <w:rPr>
          <w:b/>
          <w:bCs/>
          <w:i/>
          <w:iCs/>
        </w:rPr>
        <w:t xml:space="preserve">»</w:t>
      </w:r>
      <w:r>
        <w:rPr>
          <w:b/>
          <w:bCs/>
          <w:i/>
          <w:iCs/>
        </w:rPr>
        <w:t xml:space="preserve"> </w:t>
      </w:r>
      <w:r>
        <w:t xml:space="preserve">настоящим сообщает о внесении изменений в </w:t>
      </w:r>
      <w:r>
        <w:t xml:space="preserve">Извещение о проведении закупки</w:t>
      </w:r>
      <w:r>
        <w:t xml:space="preserve">. </w:t>
      </w:r>
      <w:r>
        <w:rPr>
          <w14:ligatures w14:val="none"/>
        </w:rPr>
      </w:r>
    </w:p>
    <w:p>
      <w:pPr>
        <w:ind w:firstLine="567"/>
        <w:jc w:val="both"/>
        <w:tabs>
          <w:tab w:val="left" w:pos="567" w:leader="none"/>
        </w:tabs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p>
      <w:pPr>
        <w:ind w:firstLine="567"/>
        <w:jc w:val="both"/>
        <w:tabs>
          <w:tab w:val="left" w:pos="567" w:leader="none"/>
        </w:tabs>
      </w:pPr>
      <w:r/>
      <w:bookmarkStart w:id="0" w:name="_Toc422209971"/>
      <w:r/>
      <w:bookmarkStart w:id="1" w:name="_Toc422226791"/>
      <w:r/>
      <w:bookmarkStart w:id="2" w:name="_Toc422244143"/>
      <w:r>
        <w:t xml:space="preserve">Изменены сроки в извещении о проведении Закупки:</w:t>
      </w:r>
      <w:r/>
    </w:p>
    <w:p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firstLine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п.</w:t>
      </w:r>
      <w:r>
        <w:rPr>
          <w:b/>
          <w:bCs/>
          <w:sz w:val="22"/>
          <w:szCs w:val="22"/>
        </w:rPr>
        <w:t xml:space="preserve">21</w:t>
      </w:r>
      <w:r>
        <w:rPr>
          <w:b/>
          <w:bCs/>
          <w:sz w:val="22"/>
          <w:szCs w:val="22"/>
        </w:rPr>
        <w:t xml:space="preserve"> Извещения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914"/>
        <w:ind w:left="284"/>
        <w:jc w:val="both"/>
        <w:widowControl/>
        <w:rPr>
          <w:color w:val="0070c0"/>
          <w:sz w:val="22"/>
          <w:szCs w:val="22"/>
        </w:rPr>
        <w:outlineLvl w:val="0"/>
      </w:pPr>
      <w: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i/>
          <w:color w:val="548dd4"/>
        </w:rPr>
        <w:t xml:space="preserve">до</w:t>
      </w:r>
      <w:r>
        <w:rPr>
          <w:i/>
          <w:color w:val="548dd4"/>
        </w:rPr>
        <w:t xml:space="preserve">12</w:t>
      </w:r>
      <w:r>
        <w:rPr>
          <w:i/>
          <w:color w:val="548dd4"/>
        </w:rPr>
        <w:t xml:space="preserve">:</w:t>
      </w:r>
      <w:r>
        <w:rPr>
          <w:i/>
          <w:color w:val="548dd4"/>
        </w:rPr>
        <w:t xml:space="preserve">00</w:t>
      </w:r>
      <w:r>
        <w:rPr>
          <w:i/>
          <w:color w:val="548dd4"/>
        </w:rPr>
        <w:t xml:space="preserve"> (по московскому времени) «15</w:t>
      </w:r>
      <w:r>
        <w:rPr>
          <w:i/>
          <w:color w:val="548dd4"/>
        </w:rPr>
        <w:t xml:space="preserve">» ма</w:t>
      </w:r>
      <w:r>
        <w:rPr>
          <w:i/>
          <w:color w:val="548dd4"/>
        </w:rPr>
        <w:t xml:space="preserve">я</w:t>
      </w:r>
      <w:r>
        <w:rPr>
          <w:i/>
          <w:color w:val="548dd4"/>
        </w:rPr>
        <w:t xml:space="preserve"> </w:t>
      </w:r>
      <w:r>
        <w:rPr>
          <w:i/>
          <w:color w:val="548dd4"/>
        </w:rPr>
        <w:t xml:space="preserve">2026</w:t>
      </w:r>
      <w:r>
        <w:rPr>
          <w:i/>
          <w:color w:val="548dd4"/>
        </w:rPr>
        <w:t xml:space="preserve"> года</w:t>
      </w:r>
      <w:r>
        <w:t xml:space="preserve"> через соответствующий функционал электронной торговой площадки, указанный в пункте 3 настоящего извещения</w:t>
      </w:r>
      <w:r>
        <w:rPr>
          <w:color w:val="0070c0"/>
          <w:sz w:val="22"/>
          <w:szCs w:val="22"/>
        </w:rPr>
      </w:r>
      <w:r>
        <w:rPr>
          <w:color w:val="0070c0"/>
          <w:sz w:val="22"/>
          <w:szCs w:val="22"/>
        </w:rPr>
      </w:r>
    </w:p>
    <w:p>
      <w:pPr>
        <w:ind w:left="284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п.</w:t>
      </w:r>
      <w:r>
        <w:rPr>
          <w:b/>
          <w:sz w:val="22"/>
          <w:szCs w:val="22"/>
        </w:rPr>
        <w:t xml:space="preserve">22</w:t>
      </w:r>
      <w:r>
        <w:rPr>
          <w:b/>
          <w:sz w:val="22"/>
          <w:szCs w:val="22"/>
        </w:rPr>
        <w:t xml:space="preserve"> Извещения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914"/>
        <w:contextualSpacing w:val="0"/>
        <w:ind w:left="284"/>
        <w:jc w:val="both"/>
        <w:outlineLvl w:val="0"/>
      </w:pPr>
      <w:r/>
      <w:bookmarkStart w:id="3" w:name="_Toc524680325"/>
      <w:r/>
      <w:bookmarkStart w:id="4" w:name="_Toc524680521"/>
      <w:r/>
      <w:bookmarkStart w:id="5" w:name="_Toc524680719"/>
      <w:r>
        <w:t xml:space="preserve">Возможность проведения </w:t>
      </w:r>
      <w:r>
        <w:t xml:space="preserve">уторговывания</w:t>
      </w:r>
      <w:r>
        <w:t xml:space="preserve">: </w:t>
      </w:r>
      <w:r>
        <w:rPr>
          <w:b/>
        </w:rPr>
        <w:t xml:space="preserve">Возможно  </w:t>
      </w:r>
      <w:r/>
    </w:p>
    <w:p>
      <w:pPr>
        <w:pStyle w:val="914"/>
        <w:contextualSpacing w:val="0"/>
        <w:ind w:left="284"/>
        <w:jc w:val="both"/>
        <w:spacing w:before="60" w:after="60"/>
        <w:outlineLvl w:val="0"/>
      </w:pPr>
      <w:r>
        <w:t xml:space="preserve">Предусмотрен этап проведения </w:t>
      </w:r>
      <w:r>
        <w:t xml:space="preserve">уторговывания</w:t>
      </w:r>
      <w:r>
        <w:t xml:space="preserve"> в соответствии с функционалом ЭТП</w:t>
      </w:r>
      <w:r/>
    </w:p>
    <w:p>
      <w:pPr>
        <w:pStyle w:val="914"/>
        <w:contextualSpacing w:val="0"/>
        <w:ind w:left="284"/>
        <w:jc w:val="both"/>
        <w:spacing w:before="60" w:after="60"/>
        <w:outlineLvl w:val="0"/>
      </w:pPr>
      <w:r>
        <w:t xml:space="preserve">Ожидание этапа </w:t>
      </w:r>
      <w:r>
        <w:t xml:space="preserve">уторговывания</w:t>
      </w:r>
      <w:r>
        <w:t xml:space="preserve">: в течение 1 часа с момента окончания срока подачи заявок</w:t>
      </w:r>
      <w:r/>
    </w:p>
    <w:p>
      <w:pPr>
        <w:pStyle w:val="914"/>
        <w:contextualSpacing w:val="0"/>
        <w:ind w:left="284"/>
        <w:jc w:val="both"/>
        <w:spacing w:before="60" w:after="60"/>
        <w:outlineLvl w:val="0"/>
      </w:pPr>
      <w:r>
        <w:t xml:space="preserve">Проведение </w:t>
      </w:r>
      <w:r>
        <w:t xml:space="preserve">уторговывания</w:t>
      </w:r>
      <w:r>
        <w:t xml:space="preserve">: не более 3-х часов с момента начала торговой сессии)</w:t>
      </w:r>
      <w:r/>
    </w:p>
    <w:p>
      <w:pPr>
        <w:pStyle w:val="914"/>
        <w:contextualSpacing w:val="0"/>
        <w:ind w:left="284"/>
        <w:jc w:val="both"/>
        <w:spacing w:before="60" w:after="60"/>
        <w:rPr>
          <w:i/>
          <w:color w:val="548dd4"/>
        </w:rPr>
        <w:outlineLvl w:val="0"/>
      </w:pPr>
      <w:r>
        <w:t xml:space="preserve">Загрузка окончательных предложений: </w:t>
      </w:r>
      <w:r>
        <w:rPr>
          <w:i/>
          <w:color w:val="548dd4"/>
        </w:rPr>
        <w:t xml:space="preserve">до «18</w:t>
      </w:r>
      <w:r>
        <w:rPr>
          <w:i/>
          <w:color w:val="548dd4"/>
        </w:rPr>
        <w:t xml:space="preserve">» мая</w:t>
      </w:r>
      <w:r>
        <w:rPr>
          <w:i/>
          <w:color w:val="548dd4"/>
        </w:rPr>
        <w:t xml:space="preserve"> 2026</w:t>
      </w:r>
      <w:r>
        <w:rPr>
          <w:i/>
          <w:color w:val="548dd4"/>
        </w:rPr>
        <w:t xml:space="preserve"> г. до 12</w:t>
      </w:r>
      <w:r>
        <w:rPr>
          <w:i/>
          <w:color w:val="548dd4"/>
        </w:rPr>
        <w:t xml:space="preserve">:00 (+ 1 раб. день к дате и времени окончания срока подачи предложений)  </w:t>
      </w:r>
      <w:r>
        <w:rPr>
          <w:i/>
          <w:color w:val="548dd4"/>
        </w:rPr>
      </w:r>
      <w:r>
        <w:rPr>
          <w:i/>
          <w:color w:val="548dd4"/>
        </w:rPr>
      </w:r>
    </w:p>
    <w:p>
      <w:pPr>
        <w:ind w:left="284"/>
        <w:jc w:val="both"/>
        <w:outlineLvl w:val="0"/>
      </w:pPr>
      <w:r>
        <w:t xml:space="preserve">Процедура вскрытия проводится</w:t>
      </w:r>
      <w:bookmarkStart w:id="6" w:name="_GoBack"/>
      <w:r/>
      <w:bookmarkEnd w:id="6"/>
      <w:r>
        <w:t xml:space="preserve"> в дату и время окончания загрузки окончательных предложений.</w:t>
      </w:r>
      <w:bookmarkEnd w:id="3"/>
      <w:r/>
      <w:bookmarkEnd w:id="4"/>
      <w:r/>
      <w:bookmarkEnd w:id="5"/>
      <w:r/>
      <w:r/>
    </w:p>
    <w:p>
      <w:pPr>
        <w:contextualSpacing/>
        <w:ind w:left="284"/>
        <w:jc w:val="both"/>
        <w:tabs>
          <w:tab w:val="num" w:pos="426" w:leader="none"/>
        </w:tabs>
        <w:rPr>
          <w:b/>
          <w:sz w:val="22"/>
          <w:szCs w:val="22"/>
        </w:rPr>
        <w:outlineLvl w:val="0"/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284"/>
        <w:rPr>
          <w:i/>
          <w:color w:val="548dd4"/>
        </w:rPr>
      </w:pPr>
      <w:r/>
      <w:bookmarkStart w:id="7" w:name="_Toc524688526"/>
      <w:r>
        <w:rPr>
          <w:b/>
          <w:sz w:val="22"/>
          <w:szCs w:val="22"/>
        </w:rPr>
        <w:t xml:space="preserve">п.</w:t>
      </w:r>
      <w:r>
        <w:rPr>
          <w:b/>
          <w:sz w:val="22"/>
          <w:szCs w:val="22"/>
        </w:rPr>
        <w:t xml:space="preserve">23</w:t>
      </w:r>
      <w:r>
        <w:rPr>
          <w:b/>
          <w:sz w:val="22"/>
          <w:szCs w:val="22"/>
        </w:rPr>
        <w:t xml:space="preserve"> Извещения</w:t>
      </w:r>
      <w:r>
        <w:rPr>
          <w:i/>
          <w:color w:val="548dd4"/>
        </w:rPr>
      </w:r>
      <w:r>
        <w:rPr>
          <w:i/>
          <w:color w:val="548dd4"/>
        </w:rPr>
      </w:r>
    </w:p>
    <w:p>
      <w:pPr>
        <w:ind w:left="284"/>
        <w:jc w:val="both"/>
        <w:spacing w:before="60" w:after="60"/>
        <w:tabs>
          <w:tab w:val="left" w:pos="142" w:leader="none"/>
        </w:tabs>
        <w:rPr>
          <w:i/>
          <w:color w:val="548dd4"/>
        </w:rPr>
        <w:outlineLvl w:val="0"/>
      </w:pPr>
      <w:r/>
      <w:bookmarkStart w:id="8" w:name="_Toc524689354"/>
      <w:r/>
      <w:bookmarkStart w:id="9" w:name="_Toc524688527"/>
      <w:r/>
      <w:bookmarkEnd w:id="7"/>
      <w:r>
        <w:t xml:space="preserve">Организатор закупки проведет процедуру вскрытия конвертов:</w:t>
      </w:r>
      <w:r>
        <w:rPr>
          <w:i/>
          <w:color w:val="548dd4"/>
        </w:rPr>
        <w:t xml:space="preserve"> </w:t>
      </w:r>
      <w:r>
        <w:rPr>
          <w:i/>
          <w:color w:val="548dd4"/>
        </w:rPr>
        <w:t xml:space="preserve">«18» мая 2026 </w:t>
      </w:r>
      <w:r>
        <w:rPr>
          <w:i/>
          <w:color w:val="548dd4"/>
        </w:rPr>
        <w:t xml:space="preserve">года</w:t>
      </w:r>
      <w:r>
        <w:rPr>
          <w:i/>
          <w:color w:val="548dd4"/>
        </w:rPr>
        <w:t xml:space="preserve">.</w:t>
      </w:r>
      <w:r>
        <w:rPr>
          <w:i/>
          <w:color w:val="548dd4"/>
        </w:rPr>
      </w:r>
      <w:r>
        <w:rPr>
          <w:i/>
          <w:color w:val="548dd4"/>
        </w:rPr>
      </w:r>
    </w:p>
    <w:p>
      <w:pPr>
        <w:ind w:left="284"/>
        <w:jc w:val="both"/>
        <w:spacing w:before="60" w:after="60"/>
        <w:tabs>
          <w:tab w:val="left" w:pos="142" w:leader="none"/>
        </w:tabs>
        <w:outlineLvl w:val="0"/>
      </w:pPr>
      <w:r/>
      <w:r/>
    </w:p>
    <w:p>
      <w:pPr>
        <w:ind w:left="284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360"/>
        <w:jc w:val="both"/>
        <w:spacing w:before="60" w:after="60"/>
        <w:tabs>
          <w:tab w:val="left" w:pos="142" w:leader="none"/>
        </w:tabs>
        <w:outlineLvl w:val="0"/>
      </w:pPr>
      <w:r/>
      <w:bookmarkEnd w:id="8"/>
      <w:r/>
      <w:bookmarkEnd w:id="9"/>
      <w:r/>
      <w:r/>
    </w:p>
    <w:p>
      <w:pPr>
        <w:pStyle w:val="914"/>
        <w:ind w:left="567"/>
        <w:jc w:val="both"/>
        <w:widowControl/>
        <w:rPr>
          <w:sz w:val="22"/>
          <w:szCs w:val="22"/>
        </w:rPr>
        <w:outlineLvl w:val="0"/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22"/>
        <w:ind w:firstLine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bookmarkEnd w:id="0"/>
      <w:r/>
      <w:bookmarkEnd w:id="1"/>
      <w:r/>
      <w:bookmarkEnd w:id="2"/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spacing w:before="6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before="60"/>
        <w:rPr>
          <w:sz w:val="22"/>
          <w:szCs w:val="22"/>
        </w:rPr>
      </w:pPr>
      <w:r>
        <w:rPr>
          <w:sz w:val="22"/>
          <w:szCs w:val="22"/>
        </w:rPr>
        <w:t xml:space="preserve">Секретарь</w:t>
      </w:r>
      <w:r>
        <w:rPr>
          <w:sz w:val="22"/>
          <w:szCs w:val="22"/>
        </w:rPr>
        <w:t xml:space="preserve"> ПДЗК                   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default" r:id="rId9"/>
      <w:footnotePr/>
      <w:endnotePr>
        <w:numFmt w:val="decimal"/>
      </w:endnotePr>
      <w:type w:val="nextPage"/>
      <w:pgSz w:w="11906" w:h="16838" w:orient="portrait"/>
      <w:pgMar w:top="1135" w:right="849" w:bottom="709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852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5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12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2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2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1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/>
        <w:sz w:val="26"/>
        <w:szCs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144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2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9">
    <w:multiLevelType w:val="hybridMultilevel"/>
    <w:lvl w:ilvl="0">
      <w:start w:val="2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num w:numId="1">
    <w:abstractNumId w:val="30"/>
  </w:num>
  <w:num w:numId="2">
    <w:abstractNumId w:val="12"/>
  </w:num>
  <w:num w:numId="3">
    <w:abstractNumId w:val="17"/>
  </w:num>
  <w:num w:numId="4">
    <w:abstractNumId w:val="21"/>
  </w:num>
  <w:num w:numId="5">
    <w:abstractNumId w:val="29"/>
  </w:num>
  <w:num w:numId="6">
    <w:abstractNumId w:val="8"/>
  </w:num>
  <w:num w:numId="7">
    <w:abstractNumId w:val="10"/>
  </w:num>
  <w:num w:numId="8">
    <w:abstractNumId w:val="27"/>
  </w:num>
  <w:num w:numId="9">
    <w:abstractNumId w:val="2"/>
  </w:num>
  <w:num w:numId="10">
    <w:abstractNumId w:val="28"/>
  </w:num>
  <w:num w:numId="11">
    <w:abstractNumId w:val="24"/>
  </w:num>
  <w:num w:numId="12">
    <w:abstractNumId w:val="14"/>
  </w:num>
  <w:num w:numId="13">
    <w:abstractNumId w:val="1"/>
  </w:num>
  <w:num w:numId="14">
    <w:abstractNumId w:val="22"/>
  </w:num>
  <w:num w:numId="15">
    <w:abstractNumId w:val="9"/>
  </w:num>
  <w:num w:numId="16">
    <w:abstractNumId w:val="13"/>
  </w:num>
  <w:num w:numId="17">
    <w:abstractNumId w:val="25"/>
  </w:num>
  <w:num w:numId="18">
    <w:abstractNumId w:val="4"/>
  </w:num>
  <w:num w:numId="19">
    <w:abstractNumId w:val="31"/>
  </w:num>
  <w:num w:numId="20">
    <w:abstractNumId w:val="0"/>
  </w:num>
  <w:num w:numId="21">
    <w:abstractNumId w:val="3"/>
  </w:num>
  <w:num w:numId="22">
    <w:abstractNumId w:val="20"/>
  </w:num>
  <w:num w:numId="23">
    <w:abstractNumId w:val="26"/>
  </w:num>
  <w:num w:numId="24">
    <w:abstractNumId w:val="6"/>
  </w:num>
  <w:num w:numId="25">
    <w:abstractNumId w:val="15"/>
  </w:num>
  <w:num w:numId="26">
    <w:abstractNumId w:val="7"/>
  </w:num>
  <w:num w:numId="27">
    <w:abstractNumId w:val="23"/>
  </w:num>
  <w:num w:numId="28">
    <w:abstractNumId w:val="19"/>
  </w:num>
  <w:num w:numId="29">
    <w:abstractNumId w:val="11"/>
  </w:num>
  <w:num w:numId="30">
    <w:abstractNumId w:val="18"/>
  </w:num>
  <w:num w:numId="31">
    <w:abstractNumId w:val="5"/>
  </w:num>
  <w:num w:numId="32">
    <w:abstractNumId w:val="1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decimal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>
    <w:name w:val="Heading 1"/>
    <w:basedOn w:val="899"/>
    <w:next w:val="899"/>
    <w:link w:val="73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2">
    <w:name w:val="Heading 1 Char"/>
    <w:basedOn w:val="901"/>
    <w:link w:val="731"/>
    <w:uiPriority w:val="9"/>
    <w:rPr>
      <w:rFonts w:ascii="Arial" w:hAnsi="Arial" w:eastAsia="Arial" w:cs="Arial"/>
      <w:sz w:val="40"/>
      <w:szCs w:val="40"/>
    </w:rPr>
  </w:style>
  <w:style w:type="paragraph" w:styleId="733">
    <w:name w:val="Heading 2"/>
    <w:basedOn w:val="899"/>
    <w:next w:val="899"/>
    <w:link w:val="73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4">
    <w:name w:val="Heading 2 Char"/>
    <w:basedOn w:val="901"/>
    <w:link w:val="733"/>
    <w:uiPriority w:val="9"/>
    <w:rPr>
      <w:rFonts w:ascii="Arial" w:hAnsi="Arial" w:eastAsia="Arial" w:cs="Arial"/>
      <w:sz w:val="34"/>
    </w:rPr>
  </w:style>
  <w:style w:type="paragraph" w:styleId="735">
    <w:name w:val="Heading 3"/>
    <w:basedOn w:val="899"/>
    <w:next w:val="899"/>
    <w:link w:val="7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6">
    <w:name w:val="Heading 3 Char"/>
    <w:basedOn w:val="901"/>
    <w:link w:val="735"/>
    <w:uiPriority w:val="9"/>
    <w:rPr>
      <w:rFonts w:ascii="Arial" w:hAnsi="Arial" w:eastAsia="Arial" w:cs="Arial"/>
      <w:sz w:val="30"/>
      <w:szCs w:val="30"/>
    </w:rPr>
  </w:style>
  <w:style w:type="paragraph" w:styleId="737">
    <w:name w:val="Heading 4"/>
    <w:basedOn w:val="899"/>
    <w:next w:val="899"/>
    <w:link w:val="7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>
    <w:name w:val="Heading 4 Char"/>
    <w:basedOn w:val="901"/>
    <w:link w:val="737"/>
    <w:uiPriority w:val="9"/>
    <w:rPr>
      <w:rFonts w:ascii="Arial" w:hAnsi="Arial" w:eastAsia="Arial" w:cs="Arial"/>
      <w:b/>
      <w:bCs/>
      <w:sz w:val="26"/>
      <w:szCs w:val="26"/>
    </w:rPr>
  </w:style>
  <w:style w:type="paragraph" w:styleId="739">
    <w:name w:val="Heading 5"/>
    <w:basedOn w:val="899"/>
    <w:next w:val="899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0">
    <w:name w:val="Heading 5 Char"/>
    <w:basedOn w:val="901"/>
    <w:link w:val="739"/>
    <w:uiPriority w:val="9"/>
    <w:rPr>
      <w:rFonts w:ascii="Arial" w:hAnsi="Arial" w:eastAsia="Arial" w:cs="Arial"/>
      <w:b/>
      <w:bCs/>
      <w:sz w:val="24"/>
      <w:szCs w:val="24"/>
    </w:rPr>
  </w:style>
  <w:style w:type="character" w:styleId="741">
    <w:name w:val="Heading 6 Char"/>
    <w:basedOn w:val="901"/>
    <w:link w:val="900"/>
    <w:uiPriority w:val="9"/>
    <w:rPr>
      <w:rFonts w:ascii="Arial" w:hAnsi="Arial" w:eastAsia="Arial" w:cs="Arial"/>
      <w:b/>
      <w:bCs/>
      <w:sz w:val="22"/>
      <w:szCs w:val="22"/>
    </w:rPr>
  </w:style>
  <w:style w:type="paragraph" w:styleId="742">
    <w:name w:val="Heading 7"/>
    <w:basedOn w:val="899"/>
    <w:next w:val="899"/>
    <w:link w:val="7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3">
    <w:name w:val="Heading 7 Char"/>
    <w:basedOn w:val="901"/>
    <w:link w:val="7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4">
    <w:name w:val="Heading 8"/>
    <w:basedOn w:val="899"/>
    <w:next w:val="899"/>
    <w:link w:val="7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5">
    <w:name w:val="Heading 8 Char"/>
    <w:basedOn w:val="901"/>
    <w:link w:val="744"/>
    <w:uiPriority w:val="9"/>
    <w:rPr>
      <w:rFonts w:ascii="Arial" w:hAnsi="Arial" w:eastAsia="Arial" w:cs="Arial"/>
      <w:i/>
      <w:iCs/>
      <w:sz w:val="22"/>
      <w:szCs w:val="22"/>
    </w:rPr>
  </w:style>
  <w:style w:type="paragraph" w:styleId="746">
    <w:name w:val="Heading 9"/>
    <w:basedOn w:val="899"/>
    <w:next w:val="899"/>
    <w:link w:val="7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7">
    <w:name w:val="Heading 9 Char"/>
    <w:basedOn w:val="901"/>
    <w:link w:val="746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899"/>
    <w:next w:val="899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basedOn w:val="901"/>
    <w:link w:val="749"/>
    <w:uiPriority w:val="10"/>
    <w:rPr>
      <w:sz w:val="48"/>
      <w:szCs w:val="48"/>
    </w:rPr>
  </w:style>
  <w:style w:type="paragraph" w:styleId="751">
    <w:name w:val="Subtitle"/>
    <w:basedOn w:val="899"/>
    <w:next w:val="899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basedOn w:val="901"/>
    <w:link w:val="751"/>
    <w:uiPriority w:val="11"/>
    <w:rPr>
      <w:sz w:val="24"/>
      <w:szCs w:val="24"/>
    </w:rPr>
  </w:style>
  <w:style w:type="paragraph" w:styleId="753">
    <w:name w:val="Quote"/>
    <w:basedOn w:val="899"/>
    <w:next w:val="899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899"/>
    <w:next w:val="899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character" w:styleId="757">
    <w:name w:val="Header Char"/>
    <w:basedOn w:val="901"/>
    <w:link w:val="904"/>
    <w:uiPriority w:val="99"/>
  </w:style>
  <w:style w:type="character" w:styleId="758">
    <w:name w:val="Footer Char"/>
    <w:basedOn w:val="901"/>
    <w:link w:val="909"/>
    <w:uiPriority w:val="99"/>
  </w:style>
  <w:style w:type="paragraph" w:styleId="759">
    <w:name w:val="Caption"/>
    <w:basedOn w:val="899"/>
    <w:next w:val="899"/>
    <w:link w:val="7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basedOn w:val="901"/>
    <w:link w:val="759"/>
    <w:uiPriority w:val="35"/>
    <w:rPr>
      <w:b/>
      <w:bCs/>
      <w:color w:val="4f81bd" w:themeColor="accent1"/>
      <w:sz w:val="18"/>
      <w:szCs w:val="18"/>
    </w:rPr>
  </w:style>
  <w:style w:type="table" w:styleId="761">
    <w:name w:val="Table Grid Light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Plain Table 1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basedOn w:val="90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>
    <w:name w:val="Grid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4 - Accent 1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0">
    <w:name w:val="Grid Table 4 - Accent 2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Grid Table 4 - Accent 3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2">
    <w:name w:val="Grid Table 4 - Accent 4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Grid Table 4 - Accent 5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4">
    <w:name w:val="Grid Table 4 - Accent 6"/>
    <w:basedOn w:val="90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5">
    <w:name w:val="Grid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6">
    <w:name w:val="Grid Table 5 Dark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2">
    <w:name w:val="Grid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3">
    <w:name w:val="Grid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4">
    <w:name w:val="Grid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5">
    <w:name w:val="Grid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6">
    <w:name w:val="Grid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7">
    <w:name w:val="Grid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4">
    <w:name w:val="List Table 2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5">
    <w:name w:val="List Table 2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6">
    <w:name w:val="List Table 2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7">
    <w:name w:val="List Table 2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8">
    <w:name w:val="List Table 2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9">
    <w:name w:val="List Table 2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0">
    <w:name w:val="List Table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5 Dark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6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2">
    <w:name w:val="List Table 6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3">
    <w:name w:val="List Table 6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List Table 6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5">
    <w:name w:val="List Table 6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List Table 6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7">
    <w:name w:val="List Table 6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8">
    <w:name w:val="List Table 7 Colorful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9">
    <w:name w:val="List Table 7 Colorful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0">
    <w:name w:val="List Table 7 Colorful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1">
    <w:name w:val="List Table 7 Colorful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2">
    <w:name w:val="List Table 7 Colorful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3">
    <w:name w:val="List Table 7 Colorful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4">
    <w:name w:val="List Table 7 Colorful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5">
    <w:name w:val="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7">
    <w:name w:val="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8">
    <w:name w:val="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9">
    <w:name w:val="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0">
    <w:name w:val="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1">
    <w:name w:val="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2">
    <w:name w:val="Bordered &amp; Lined - Accent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Bordered &amp; Lined - Accent 1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4">
    <w:name w:val="Bordered &amp; Lined - Accent 2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5">
    <w:name w:val="Bordered &amp; Lined - Accent 3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6">
    <w:name w:val="Bordered &amp; Lined - Accent 4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7">
    <w:name w:val="Bordered &amp; Lined - Accent 5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8">
    <w:name w:val="Bordered &amp; Lined - Accent 6"/>
    <w:basedOn w:val="90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9">
    <w:name w:val="Bordered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0">
    <w:name w:val="Bordered - Accent 1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1">
    <w:name w:val="Bordered - Accent 2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2">
    <w:name w:val="Bordered - Accent 3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3">
    <w:name w:val="Bordered - Accent 4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4">
    <w:name w:val="Bordered - Accent 5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5">
    <w:name w:val="Bordered - Accent 6"/>
    <w:basedOn w:val="90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6">
    <w:name w:val="Footnote Text Char"/>
    <w:link w:val="926"/>
    <w:uiPriority w:val="99"/>
    <w:rPr>
      <w:sz w:val="18"/>
    </w:rPr>
  </w:style>
  <w:style w:type="character" w:styleId="887">
    <w:name w:val="Endnote Text Char"/>
    <w:link w:val="915"/>
    <w:uiPriority w:val="99"/>
    <w:rPr>
      <w:sz w:val="20"/>
    </w:rPr>
  </w:style>
  <w:style w:type="paragraph" w:styleId="888">
    <w:name w:val="toc 1"/>
    <w:basedOn w:val="899"/>
    <w:next w:val="899"/>
    <w:uiPriority w:val="39"/>
    <w:unhideWhenUsed/>
    <w:pPr>
      <w:ind w:left="0" w:right="0" w:firstLine="0"/>
      <w:spacing w:after="57"/>
    </w:pPr>
  </w:style>
  <w:style w:type="paragraph" w:styleId="889">
    <w:name w:val="toc 2"/>
    <w:basedOn w:val="899"/>
    <w:next w:val="899"/>
    <w:uiPriority w:val="39"/>
    <w:unhideWhenUsed/>
    <w:pPr>
      <w:ind w:left="283" w:right="0" w:firstLine="0"/>
      <w:spacing w:after="57"/>
    </w:pPr>
  </w:style>
  <w:style w:type="paragraph" w:styleId="890">
    <w:name w:val="toc 3"/>
    <w:basedOn w:val="899"/>
    <w:next w:val="899"/>
    <w:uiPriority w:val="39"/>
    <w:unhideWhenUsed/>
    <w:pPr>
      <w:ind w:left="567" w:right="0" w:firstLine="0"/>
      <w:spacing w:after="57"/>
    </w:pPr>
  </w:style>
  <w:style w:type="paragraph" w:styleId="891">
    <w:name w:val="toc 4"/>
    <w:basedOn w:val="899"/>
    <w:next w:val="899"/>
    <w:uiPriority w:val="39"/>
    <w:unhideWhenUsed/>
    <w:pPr>
      <w:ind w:left="850" w:right="0" w:firstLine="0"/>
      <w:spacing w:after="57"/>
    </w:pPr>
  </w:style>
  <w:style w:type="paragraph" w:styleId="892">
    <w:name w:val="toc 5"/>
    <w:basedOn w:val="899"/>
    <w:next w:val="899"/>
    <w:uiPriority w:val="39"/>
    <w:unhideWhenUsed/>
    <w:pPr>
      <w:ind w:left="1134" w:right="0" w:firstLine="0"/>
      <w:spacing w:after="57"/>
    </w:pPr>
  </w:style>
  <w:style w:type="paragraph" w:styleId="893">
    <w:name w:val="toc 6"/>
    <w:basedOn w:val="899"/>
    <w:next w:val="899"/>
    <w:uiPriority w:val="39"/>
    <w:unhideWhenUsed/>
    <w:pPr>
      <w:ind w:left="1417" w:right="0" w:firstLine="0"/>
      <w:spacing w:after="57"/>
    </w:pPr>
  </w:style>
  <w:style w:type="paragraph" w:styleId="894">
    <w:name w:val="toc 7"/>
    <w:basedOn w:val="899"/>
    <w:next w:val="899"/>
    <w:uiPriority w:val="39"/>
    <w:unhideWhenUsed/>
    <w:pPr>
      <w:ind w:left="1701" w:right="0" w:firstLine="0"/>
      <w:spacing w:after="57"/>
    </w:pPr>
  </w:style>
  <w:style w:type="paragraph" w:styleId="895">
    <w:name w:val="toc 8"/>
    <w:basedOn w:val="899"/>
    <w:next w:val="899"/>
    <w:uiPriority w:val="39"/>
    <w:unhideWhenUsed/>
    <w:pPr>
      <w:ind w:left="1984" w:right="0" w:firstLine="0"/>
      <w:spacing w:after="57"/>
    </w:pPr>
  </w:style>
  <w:style w:type="paragraph" w:styleId="896">
    <w:name w:val="toc 9"/>
    <w:basedOn w:val="899"/>
    <w:next w:val="899"/>
    <w:uiPriority w:val="39"/>
    <w:unhideWhenUsed/>
    <w:pPr>
      <w:ind w:left="2268" w:right="0" w:firstLine="0"/>
      <w:spacing w:after="57"/>
    </w:pPr>
  </w:style>
  <w:style w:type="paragraph" w:styleId="897">
    <w:name w:val="TOC Heading"/>
    <w:uiPriority w:val="39"/>
    <w:unhideWhenUsed/>
  </w:style>
  <w:style w:type="paragraph" w:styleId="898">
    <w:name w:val="table of figures"/>
    <w:basedOn w:val="899"/>
    <w:next w:val="899"/>
    <w:uiPriority w:val="99"/>
    <w:unhideWhenUsed/>
    <w:pPr>
      <w:spacing w:after="0" w:afterAutospacing="0"/>
    </w:pPr>
  </w:style>
  <w:style w:type="paragraph" w:styleId="89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0">
    <w:name w:val="Heading 6"/>
    <w:basedOn w:val="899"/>
    <w:next w:val="899"/>
    <w:link w:val="912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901" w:default="1">
    <w:name w:val="Default Paragraph Font"/>
    <w:uiPriority w:val="1"/>
    <w:semiHidden/>
    <w:unhideWhenUsed/>
  </w:style>
  <w:style w:type="table" w:styleId="9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3" w:default="1">
    <w:name w:val="No List"/>
    <w:uiPriority w:val="99"/>
    <w:semiHidden/>
    <w:unhideWhenUsed/>
  </w:style>
  <w:style w:type="paragraph" w:styleId="904">
    <w:name w:val="Header"/>
    <w:basedOn w:val="899"/>
    <w:link w:val="905"/>
    <w:uiPriority w:val="99"/>
    <w:pPr>
      <w:tabs>
        <w:tab w:val="center" w:pos="4677" w:leader="none"/>
        <w:tab w:val="right" w:pos="9355" w:leader="none"/>
      </w:tabs>
    </w:pPr>
  </w:style>
  <w:style w:type="character" w:styleId="905" w:customStyle="1">
    <w:name w:val="Верхний колонтитул Знак"/>
    <w:basedOn w:val="901"/>
    <w:link w:val="90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6">
    <w:name w:val="Balloon Text"/>
    <w:basedOn w:val="899"/>
    <w:link w:val="907"/>
    <w:uiPriority w:val="99"/>
    <w:semiHidden/>
    <w:unhideWhenUsed/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basedOn w:val="901"/>
    <w:link w:val="90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908">
    <w:name w:val="Hyperlink"/>
    <w:basedOn w:val="901"/>
    <w:uiPriority w:val="99"/>
    <w:unhideWhenUsed/>
    <w:rPr>
      <w:color w:val="0000ff" w:themeColor="hyperlink"/>
      <w:u w:val="single"/>
    </w:rPr>
  </w:style>
  <w:style w:type="paragraph" w:styleId="909">
    <w:name w:val="Footer"/>
    <w:basedOn w:val="899"/>
    <w:link w:val="91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0" w:customStyle="1">
    <w:name w:val="Нижний колонтитул Знак"/>
    <w:basedOn w:val="901"/>
    <w:link w:val="90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11">
    <w:name w:val="Table Grid"/>
    <w:basedOn w:val="90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2" w:customStyle="1">
    <w:name w:val="Заголовок 6 Знак"/>
    <w:basedOn w:val="901"/>
    <w:link w:val="900"/>
    <w:rPr>
      <w:rFonts w:ascii="Times New Roman" w:hAnsi="Times New Roman" w:eastAsia="Times New Roman" w:cs="Times New Roman"/>
      <w:b/>
      <w:bCs/>
      <w:lang w:eastAsia="ru-RU"/>
    </w:rPr>
  </w:style>
  <w:style w:type="paragraph" w:styleId="913">
    <w:name w:val="List Number"/>
    <w:basedOn w:val="899"/>
    <w:pPr>
      <w:jc w:val="both"/>
      <w:spacing w:before="60" w:line="360" w:lineRule="auto"/>
    </w:pPr>
    <w:rPr>
      <w:sz w:val="28"/>
    </w:rPr>
  </w:style>
  <w:style w:type="paragraph" w:styleId="914">
    <w:name w:val="List Paragraph"/>
    <w:basedOn w:val="899"/>
    <w:link w:val="920"/>
    <w:uiPriority w:val="34"/>
    <w:qFormat/>
    <w:pPr>
      <w:contextualSpacing/>
      <w:ind w:left="720"/>
      <w:widowControl w:val="off"/>
    </w:pPr>
  </w:style>
  <w:style w:type="paragraph" w:styleId="915">
    <w:name w:val="endnote text"/>
    <w:basedOn w:val="899"/>
    <w:link w:val="916"/>
    <w:uiPriority w:val="99"/>
    <w:semiHidden/>
    <w:unhideWhenUsed/>
    <w:rPr>
      <w:sz w:val="20"/>
      <w:szCs w:val="20"/>
    </w:rPr>
  </w:style>
  <w:style w:type="character" w:styleId="916" w:customStyle="1">
    <w:name w:val="Текст концевой сноски Знак"/>
    <w:basedOn w:val="901"/>
    <w:link w:val="91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17">
    <w:name w:val="endnote reference"/>
    <w:basedOn w:val="901"/>
    <w:uiPriority w:val="99"/>
    <w:semiHidden/>
    <w:unhideWhenUsed/>
    <w:rPr>
      <w:vertAlign w:val="superscript"/>
    </w:rPr>
  </w:style>
  <w:style w:type="character" w:styleId="918">
    <w:name w:val="FollowedHyperlink"/>
    <w:basedOn w:val="901"/>
    <w:uiPriority w:val="99"/>
    <w:semiHidden/>
    <w:unhideWhenUsed/>
    <w:rPr>
      <w:color w:val="800080" w:themeColor="followedHyperlink"/>
      <w:u w:val="single"/>
    </w:rPr>
  </w:style>
  <w:style w:type="paragraph" w:styleId="919" w:customStyle="1">
    <w:name w:val="ConsPlusNormal"/>
    <w:pPr>
      <w:spacing w:after="0" w:line="240" w:lineRule="auto"/>
    </w:pPr>
    <w:rPr>
      <w:rFonts w:ascii="Arial" w:hAnsi="Arial" w:eastAsia="Calibri" w:cs="Arial"/>
      <w:sz w:val="20"/>
      <w:szCs w:val="20"/>
    </w:rPr>
  </w:style>
  <w:style w:type="character" w:styleId="920" w:customStyle="1">
    <w:name w:val="Абзац списка Знак"/>
    <w:link w:val="91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1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922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923">
    <w:name w:val="Document Map"/>
    <w:basedOn w:val="899"/>
    <w:link w:val="924"/>
    <w:semiHidden/>
    <w:pPr>
      <w:ind w:firstLine="567"/>
      <w:jc w:val="both"/>
      <w:spacing w:line="360" w:lineRule="auto"/>
      <w:shd w:val="clear" w:color="auto" w:fill="000080"/>
    </w:pPr>
    <w:rPr>
      <w:rFonts w:ascii="Tahoma" w:hAnsi="Tahoma"/>
      <w:sz w:val="20"/>
      <w:szCs w:val="20"/>
    </w:rPr>
  </w:style>
  <w:style w:type="character" w:styleId="924" w:customStyle="1">
    <w:name w:val="Схема документа Знак"/>
    <w:basedOn w:val="901"/>
    <w:link w:val="923"/>
    <w:semiHidden/>
    <w:rPr>
      <w:rFonts w:ascii="Tahoma" w:hAnsi="Tahoma" w:eastAsia="Times New Roman" w:cs="Times New Roman"/>
      <w:sz w:val="20"/>
      <w:szCs w:val="20"/>
      <w:shd w:val="clear" w:color="auto" w:fill="000080"/>
      <w:lang w:eastAsia="ru-RU"/>
    </w:rPr>
  </w:style>
  <w:style w:type="character" w:styleId="925">
    <w:name w:val="footnote reference"/>
    <w:semiHidden/>
    <w:rPr>
      <w:vertAlign w:val="superscript"/>
    </w:rPr>
  </w:style>
  <w:style w:type="paragraph" w:styleId="926">
    <w:name w:val="footnote text"/>
    <w:basedOn w:val="899"/>
    <w:link w:val="927"/>
    <w:semiHidden/>
    <w:pPr>
      <w:ind w:firstLine="567"/>
      <w:jc w:val="both"/>
    </w:pPr>
    <w:rPr>
      <w:sz w:val="20"/>
      <w:szCs w:val="20"/>
    </w:rPr>
  </w:style>
  <w:style w:type="character" w:styleId="927" w:customStyle="1">
    <w:name w:val="Текст сноски Знак"/>
    <w:basedOn w:val="901"/>
    <w:link w:val="926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28">
    <w:name w:val="Unresolved Mention"/>
    <w:basedOn w:val="90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007C9-CD70-4F50-9A8A-1EB6047DC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UserIREF</dc:creator>
  <cp:lastModifiedBy>lebusova_on</cp:lastModifiedBy>
  <cp:revision>12</cp:revision>
  <dcterms:created xsi:type="dcterms:W3CDTF">2023-01-20T10:03:00Z</dcterms:created>
  <dcterms:modified xsi:type="dcterms:W3CDTF">2026-05-07T12:54:56Z</dcterms:modified>
</cp:coreProperties>
</file>